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8B6D7" w14:textId="77777777" w:rsidR="00334538" w:rsidRPr="0019104B" w:rsidRDefault="00334538" w:rsidP="00107DB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19104B">
        <w:rPr>
          <w:rFonts w:asciiTheme="majorHAnsi" w:hAnsiTheme="majorHAnsi"/>
          <w:b/>
          <w:sz w:val="24"/>
          <w:szCs w:val="24"/>
        </w:rPr>
        <w:t>POLICY ON APPOINTMENT OF DIRECTORS AND SENIOR MANAGEMENT AND SUCCESSION PLANNING FOR ORDERLY SUCCESSION TO THE BOARD AND THE SENIOR MANAGEMENT</w:t>
      </w:r>
    </w:p>
    <w:p w14:paraId="248B0CA8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5714581" w14:textId="77777777" w:rsidR="00334538" w:rsidRPr="0019104B" w:rsidRDefault="00334538" w:rsidP="00107DBA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9104B">
        <w:rPr>
          <w:rFonts w:asciiTheme="majorHAnsi" w:hAnsiTheme="majorHAnsi"/>
          <w:b/>
          <w:sz w:val="24"/>
          <w:szCs w:val="24"/>
        </w:rPr>
        <w:t>DEFINITIONS</w:t>
      </w:r>
    </w:p>
    <w:p w14:paraId="65840961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568ABD4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definitions of some of the key terms used in this Policy are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given below.</w:t>
      </w:r>
    </w:p>
    <w:p w14:paraId="6B949278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3DC3F71C" w14:textId="5E9C0EDD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“Boa</w:t>
      </w:r>
      <w:r w:rsidR="00446548">
        <w:rPr>
          <w:rFonts w:asciiTheme="majorHAnsi" w:hAnsiTheme="majorHAnsi"/>
          <w:sz w:val="24"/>
          <w:szCs w:val="24"/>
        </w:rPr>
        <w:t xml:space="preserve">rd” means Board of Directors of </w:t>
      </w:r>
      <w:r w:rsidR="00C94554">
        <w:rPr>
          <w:rFonts w:asciiTheme="majorHAnsi" w:hAnsiTheme="majorHAnsi"/>
          <w:sz w:val="24"/>
          <w:szCs w:val="24"/>
        </w:rPr>
        <w:t xml:space="preserve">Le Lavoir </w:t>
      </w:r>
      <w:r w:rsidRPr="00334538">
        <w:rPr>
          <w:rFonts w:asciiTheme="majorHAnsi" w:hAnsiTheme="majorHAnsi"/>
          <w:sz w:val="24"/>
          <w:szCs w:val="24"/>
        </w:rPr>
        <w:t>Limited.</w:t>
      </w:r>
    </w:p>
    <w:p w14:paraId="21EBCE35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E528358" w14:textId="0C1CA54E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 xml:space="preserve">“Company” means </w:t>
      </w:r>
      <w:r w:rsidR="00C94554">
        <w:rPr>
          <w:rFonts w:asciiTheme="majorHAnsi" w:hAnsiTheme="majorHAnsi"/>
          <w:sz w:val="24"/>
          <w:szCs w:val="24"/>
        </w:rPr>
        <w:t>Le Lavoir</w:t>
      </w:r>
      <w:r w:rsidR="00CE77C3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Limited.</w:t>
      </w:r>
    </w:p>
    <w:p w14:paraId="6E85BABB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B598A34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“Committee(s)” means Committees of the Board for the time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being in force.</w:t>
      </w:r>
    </w:p>
    <w:p w14:paraId="5517A084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675C791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“Employee” means employee of the Company whether employed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 India or outside India including employees in the Senior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Management Team of the Company.</w:t>
      </w:r>
    </w:p>
    <w:p w14:paraId="6F75B075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0FF6DD8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“HR</w:t>
      </w:r>
      <w:r>
        <w:rPr>
          <w:rFonts w:asciiTheme="majorHAnsi" w:hAnsiTheme="majorHAnsi"/>
          <w:sz w:val="24"/>
          <w:szCs w:val="24"/>
        </w:rPr>
        <w:t>D</w:t>
      </w:r>
      <w:r w:rsidRPr="00334538">
        <w:rPr>
          <w:rFonts w:asciiTheme="majorHAnsi" w:hAnsiTheme="majorHAnsi"/>
          <w:sz w:val="24"/>
          <w:szCs w:val="24"/>
        </w:rPr>
        <w:t>” means the Human Resource Department of the Company.</w:t>
      </w:r>
    </w:p>
    <w:p w14:paraId="3225BC54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CB6B994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“Key Managerial Personnel” (KMP) refers to Key Managerial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Personnel as defined under the Companies Act, 2013 (the Act)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which includes:</w:t>
      </w:r>
    </w:p>
    <w:p w14:paraId="38FA6584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(i) Managing Director or Chief Executive Officer or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Manager or Whole Time Director;</w:t>
      </w:r>
    </w:p>
    <w:p w14:paraId="79155171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(ii) Chief Financial Officer;</w:t>
      </w:r>
    </w:p>
    <w:p w14:paraId="41E249BF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(iii) Company Secretary and</w:t>
      </w:r>
    </w:p>
    <w:p w14:paraId="2133FB3B" w14:textId="77777777" w:rsidR="00334538" w:rsidRDefault="0008549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(iv) </w:t>
      </w:r>
      <w:r w:rsidR="00334538">
        <w:rPr>
          <w:rFonts w:asciiTheme="majorHAnsi" w:hAnsiTheme="majorHAnsi"/>
          <w:sz w:val="24"/>
          <w:szCs w:val="24"/>
        </w:rPr>
        <w:t>Such</w:t>
      </w:r>
      <w:r w:rsidR="00334538" w:rsidRPr="00334538">
        <w:rPr>
          <w:rFonts w:asciiTheme="majorHAnsi" w:hAnsiTheme="majorHAnsi"/>
          <w:sz w:val="24"/>
          <w:szCs w:val="24"/>
        </w:rPr>
        <w:t xml:space="preserve"> other officer, not more than one level below the</w:t>
      </w:r>
      <w:r w:rsidR="00334538">
        <w:rPr>
          <w:rFonts w:asciiTheme="majorHAnsi" w:hAnsiTheme="majorHAnsi"/>
          <w:sz w:val="24"/>
          <w:szCs w:val="24"/>
        </w:rPr>
        <w:t xml:space="preserve"> </w:t>
      </w:r>
      <w:r w:rsidR="00334538" w:rsidRPr="00334538">
        <w:rPr>
          <w:rFonts w:asciiTheme="majorHAnsi" w:hAnsiTheme="majorHAnsi"/>
          <w:sz w:val="24"/>
          <w:szCs w:val="24"/>
        </w:rPr>
        <w:t>directors who is in whole-time employment, designated as</w:t>
      </w:r>
      <w:r w:rsidR="00334538">
        <w:rPr>
          <w:rFonts w:asciiTheme="majorHAnsi" w:hAnsiTheme="majorHAnsi"/>
          <w:sz w:val="24"/>
          <w:szCs w:val="24"/>
        </w:rPr>
        <w:t xml:space="preserve"> </w:t>
      </w:r>
      <w:r w:rsidR="00334538" w:rsidRPr="00334538">
        <w:rPr>
          <w:rFonts w:asciiTheme="majorHAnsi" w:hAnsiTheme="majorHAnsi"/>
          <w:sz w:val="24"/>
          <w:szCs w:val="24"/>
        </w:rPr>
        <w:t>key managerial personnel by the Board.</w:t>
      </w:r>
    </w:p>
    <w:p w14:paraId="6239CDEA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5E9D6EC9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“Nomination and Remuneration Committee”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(NRC) means Nomination and Remuneration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Committee of the Board of Directors for the time being in force.</w:t>
      </w:r>
    </w:p>
    <w:p w14:paraId="58AFFA9F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722E8B49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“Senior Management” means officers/personnel of the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Company who are members of its Core Management Team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excluding Board of Directors and normally this shall comprise of all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members of management one level below the chief executive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officer/managing director/whole time director/manager (including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chief executive officer/manager, in case they are not part of the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board) including the functional heads and shall specifically include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company secretary and chief financial officer.</w:t>
      </w:r>
    </w:p>
    <w:p w14:paraId="7EA27470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3959F5E2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71A09">
        <w:rPr>
          <w:rFonts w:asciiTheme="majorHAnsi" w:hAnsiTheme="majorHAnsi"/>
          <w:b/>
          <w:sz w:val="24"/>
          <w:szCs w:val="24"/>
        </w:rPr>
        <w:t>APPOINTMENT OF DIRECTORS</w:t>
      </w:r>
    </w:p>
    <w:p w14:paraId="4B3AA90E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47462A4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="Cambria" w:hAnsi="Cambria" w:cs="Cambria"/>
          <w:sz w:val="24"/>
          <w:szCs w:val="24"/>
        </w:rPr>
        <w:t>The NRC reviews and assesses Board composition and</w:t>
      </w:r>
      <w:r w:rsidR="00A71A09">
        <w:rPr>
          <w:rFonts w:ascii="Cambria" w:hAnsi="Cambria" w:cs="Cambria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recommends the appointment of new Directors. In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evaluating the suitability of individual Board member,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NRC shall take into account the following criteria regarding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qualifications, positive attributes and independence of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director:</w:t>
      </w:r>
    </w:p>
    <w:p w14:paraId="1FF8FE47" w14:textId="77777777" w:rsidR="00334538" w:rsidRPr="00334538" w:rsidRDefault="00334538" w:rsidP="00107DBA">
      <w:pPr>
        <w:spacing w:after="0" w:line="240" w:lineRule="auto"/>
        <w:ind w:left="450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1. All Board appointments will be based on merit, in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context of the skills, experience,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independence and knowledge, for the Board as a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whole to be effective.</w:t>
      </w:r>
    </w:p>
    <w:p w14:paraId="2E3FB552" w14:textId="77777777" w:rsidR="00334538" w:rsidRPr="00334538" w:rsidRDefault="00334538" w:rsidP="00107DBA">
      <w:pPr>
        <w:spacing w:after="0" w:line="240" w:lineRule="auto"/>
        <w:ind w:left="450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lastRenderedPageBreak/>
        <w:t>2. Ability of the candidates to devote sufficient time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and attention to his professional obligations as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Independent Director for informed and balanced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decision making.</w:t>
      </w:r>
    </w:p>
    <w:p w14:paraId="5D1BE839" w14:textId="77777777" w:rsidR="00334538" w:rsidRDefault="00334538" w:rsidP="00107DBA">
      <w:pPr>
        <w:spacing w:after="0" w:line="240" w:lineRule="auto"/>
        <w:ind w:left="450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3. Adherence to the Code of Conduct and highest level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of Corporate Governance in letter and in spirit by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Independent Directors.</w:t>
      </w:r>
    </w:p>
    <w:p w14:paraId="12A8BFF5" w14:textId="77777777" w:rsidR="00A71A09" w:rsidRPr="00334538" w:rsidRDefault="00A71A09" w:rsidP="00107DBA">
      <w:pPr>
        <w:spacing w:after="0" w:line="240" w:lineRule="auto"/>
        <w:ind w:left="450"/>
        <w:jc w:val="both"/>
        <w:rPr>
          <w:rFonts w:asciiTheme="majorHAnsi" w:hAnsiTheme="majorHAnsi"/>
          <w:sz w:val="24"/>
          <w:szCs w:val="24"/>
        </w:rPr>
      </w:pPr>
    </w:p>
    <w:p w14:paraId="6ED8C709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="Cambria" w:hAnsi="Cambria" w:cs="Cambria"/>
          <w:sz w:val="24"/>
          <w:szCs w:val="24"/>
        </w:rPr>
        <w:t>Based on recommendation of the NRC, the Board will</w:t>
      </w:r>
      <w:r w:rsidR="00A71A09">
        <w:rPr>
          <w:rFonts w:ascii="Cambria" w:hAnsi="Cambria" w:cs="Cambria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evaluate the candidate(s) and decide on the selection of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appropriate member. The Board through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Chairman will interact with the new member to obtain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his/her consent for joining the Board. Upon receipt of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consent, the new Director will be co-opted by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Board in accordance with the applicable provisions of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Act and the Rules made thereunder.</w:t>
      </w:r>
    </w:p>
    <w:p w14:paraId="0D58847B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7DF1EDB" w14:textId="77777777" w:rsidR="00334538" w:rsidRPr="00A71A09" w:rsidRDefault="00334538" w:rsidP="00107DBA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A71A09">
        <w:rPr>
          <w:rFonts w:asciiTheme="majorHAnsi" w:hAnsiTheme="majorHAnsi"/>
          <w:b/>
          <w:sz w:val="24"/>
          <w:szCs w:val="24"/>
        </w:rPr>
        <w:t>REMOVAL OF DIRECTORS</w:t>
      </w:r>
    </w:p>
    <w:p w14:paraId="65AF6590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4D83363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If a Director is attracted with any disqualification as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mentioned in any of the applicable Act, rules and regulations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or due to non-adherence to the applicable policies of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Company, the NRC may recommend to the Board with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reasons recorded in writing, removal of a Director subject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to the compliance of the applicable statutory provisions.</w:t>
      </w:r>
    </w:p>
    <w:p w14:paraId="453809EC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1E17BFA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A71A09">
        <w:rPr>
          <w:rFonts w:asciiTheme="majorHAnsi" w:hAnsiTheme="majorHAnsi"/>
          <w:b/>
          <w:sz w:val="24"/>
          <w:szCs w:val="24"/>
        </w:rPr>
        <w:t>SENIOR MANAGEMENT PERSONNEL</w:t>
      </w:r>
    </w:p>
    <w:p w14:paraId="125DE61D" w14:textId="77777777" w:rsidR="00A71A09" w:rsidRPr="00A71A09" w:rsidRDefault="00A71A09" w:rsidP="00107DBA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3751942B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NRC shall identify persons who are qualified to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become directors and who may be appointed in senior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management team in accordance with the criteria laid down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above and recommend to the Board about their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appointment and removal.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Senior Management personnel are appointed or promoted and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removed/relieved with the authority of Chairman based on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business need and the suitability of the candidate.</w:t>
      </w:r>
    </w:p>
    <w:p w14:paraId="4FAE00D9" w14:textId="77777777" w:rsidR="00A71A09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1636CC1" w14:textId="77777777" w:rsidR="00334538" w:rsidRPr="00A71A09" w:rsidRDefault="00334538" w:rsidP="00107DBA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A71A09">
        <w:rPr>
          <w:rFonts w:asciiTheme="majorHAnsi" w:hAnsiTheme="majorHAnsi"/>
          <w:b/>
          <w:sz w:val="24"/>
          <w:szCs w:val="24"/>
        </w:rPr>
        <w:t>SUCCESSION PLANNING:</w:t>
      </w:r>
    </w:p>
    <w:p w14:paraId="3E5025D8" w14:textId="77777777" w:rsidR="00A71A09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3C8A15E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Purpose:</w:t>
      </w:r>
    </w:p>
    <w:p w14:paraId="62E35B14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4729F67E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Talent Management Policy sets out the approach to the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 xml:space="preserve">development and management of talent in the </w:t>
      </w:r>
      <w:r w:rsidR="00A71A09">
        <w:rPr>
          <w:rFonts w:asciiTheme="majorHAnsi" w:hAnsiTheme="majorHAnsi"/>
          <w:sz w:val="24"/>
          <w:szCs w:val="24"/>
        </w:rPr>
        <w:t xml:space="preserve">Company </w:t>
      </w:r>
      <w:r w:rsidRPr="00334538">
        <w:rPr>
          <w:rFonts w:asciiTheme="majorHAnsi" w:hAnsiTheme="majorHAnsi"/>
          <w:sz w:val="24"/>
          <w:szCs w:val="24"/>
        </w:rPr>
        <w:t>to ensure the implementation of the strategic business plans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 xml:space="preserve">of the </w:t>
      </w:r>
      <w:r w:rsidR="00A71A09">
        <w:rPr>
          <w:rFonts w:asciiTheme="majorHAnsi" w:hAnsiTheme="majorHAnsi"/>
          <w:sz w:val="24"/>
          <w:szCs w:val="24"/>
        </w:rPr>
        <w:t>Company</w:t>
      </w:r>
      <w:r w:rsidRPr="00334538">
        <w:rPr>
          <w:rFonts w:asciiTheme="majorHAnsi" w:hAnsiTheme="majorHAnsi"/>
          <w:sz w:val="24"/>
          <w:szCs w:val="24"/>
        </w:rPr>
        <w:t>.</w:t>
      </w:r>
    </w:p>
    <w:p w14:paraId="2FE20CA7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0E0C2415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Board:</w:t>
      </w:r>
    </w:p>
    <w:p w14:paraId="02D10310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76F3097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successors for the Independent Directors shall be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identified by the NRC at least one quarter before expiry of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scheduled term. In case of separation of Independent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Directors due to resignation or otherwise, successor will be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appointed at the earliest but not later than the immediate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next Board meeting or three months from the date of such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vacancy, whichever is later.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successor(s) for the Executive Director(s) shall be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identified by the NRC from among the Senior Management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or through external source as the Board may deem fit.</w:t>
      </w:r>
    </w:p>
    <w:p w14:paraId="6FA7D809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517D78B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NRC will accord due consideration for the expertise and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other criteria required for the successor.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Board may also decide not to fill the vacancy caused at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its discretion.</w:t>
      </w:r>
    </w:p>
    <w:p w14:paraId="4EB4B627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lastRenderedPageBreak/>
        <w:t>Senior Management Personnel:</w:t>
      </w:r>
    </w:p>
    <w:p w14:paraId="05BCDB06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392B3B63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A good succession-planning program aims to identify high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growth individuals, train them and feed the pipelines with new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talent. It will ensure replacements for key job incumbents in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KMPs and senior management positions in the organization.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Significantly, we have a process of identifying Hi-pots and</w:t>
      </w:r>
      <w:r w:rsidR="00A71A09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 xml:space="preserve">critical positions. </w:t>
      </w:r>
    </w:p>
    <w:p w14:paraId="4A92265F" w14:textId="77777777" w:rsidR="00A71A09" w:rsidRPr="00334538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3D6E972" w14:textId="77777777" w:rsidR="00A71A09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Policy Statement:</w:t>
      </w:r>
    </w:p>
    <w:p w14:paraId="46C69993" w14:textId="77777777" w:rsidR="00A71A09" w:rsidRDefault="00A71A09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4BFE6A1A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 xml:space="preserve">The Talent Management framework of the </w:t>
      </w:r>
      <w:r w:rsidR="00A71A09">
        <w:rPr>
          <w:rFonts w:asciiTheme="majorHAnsi" w:hAnsiTheme="majorHAnsi"/>
          <w:sz w:val="24"/>
          <w:szCs w:val="24"/>
        </w:rPr>
        <w:t xml:space="preserve">Company </w:t>
      </w:r>
      <w:r w:rsidRPr="00334538">
        <w:rPr>
          <w:rFonts w:asciiTheme="majorHAnsi" w:hAnsiTheme="majorHAnsi"/>
          <w:sz w:val="24"/>
          <w:szCs w:val="24"/>
        </w:rPr>
        <w:t>has been created to address three basic issues:</w:t>
      </w:r>
    </w:p>
    <w:p w14:paraId="7A394F25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1) Given the strategic business plans, do we have the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skills and competencies required to implement them?</w:t>
      </w:r>
    </w:p>
    <w:p w14:paraId="039E2745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If not, how do we create them – by developing them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internally or through lateral induction from outside?</w:t>
      </w:r>
    </w:p>
    <w:p w14:paraId="65553A09" w14:textId="77777777" w:rsidR="001D6315" w:rsidRPr="00334538" w:rsidRDefault="001D6315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11A05F69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2) For critical positions, what is the succession pipeline?</w:t>
      </w:r>
    </w:p>
    <w:p w14:paraId="50790773" w14:textId="77777777" w:rsidR="001D6315" w:rsidRDefault="001D6315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4E1FAB7B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3)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What are the individual development plans for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individuals both in the succession pipeline as well as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others?</w:t>
      </w:r>
    </w:p>
    <w:p w14:paraId="30026C52" w14:textId="77777777" w:rsidR="001D6315" w:rsidRPr="00334538" w:rsidRDefault="001D6315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68024913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 xml:space="preserve">The framework lays down </w:t>
      </w:r>
      <w:r w:rsidR="001D6315" w:rsidRPr="00334538">
        <w:rPr>
          <w:rFonts w:asciiTheme="majorHAnsi" w:hAnsiTheme="majorHAnsi"/>
          <w:sz w:val="24"/>
          <w:szCs w:val="24"/>
        </w:rPr>
        <w:t>architecture</w:t>
      </w:r>
      <w:r w:rsidRPr="00334538">
        <w:rPr>
          <w:rFonts w:asciiTheme="majorHAnsi" w:hAnsiTheme="majorHAnsi"/>
          <w:sz w:val="24"/>
          <w:szCs w:val="24"/>
        </w:rPr>
        <w:t xml:space="preserve"> and processes to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 xml:space="preserve">address these questions using the </w:t>
      </w:r>
      <w:r w:rsidR="001D6315">
        <w:rPr>
          <w:rFonts w:asciiTheme="majorHAnsi" w:hAnsiTheme="majorHAnsi"/>
          <w:sz w:val="24"/>
          <w:szCs w:val="24"/>
        </w:rPr>
        <w:t>below</w:t>
      </w:r>
      <w:r w:rsidRPr="00334538">
        <w:rPr>
          <w:rFonts w:asciiTheme="majorHAnsi" w:hAnsiTheme="majorHAnsi"/>
          <w:sz w:val="24"/>
          <w:szCs w:val="24"/>
        </w:rPr>
        <w:t xml:space="preserve"> approach:</w:t>
      </w:r>
    </w:p>
    <w:p w14:paraId="3ABA3C16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a) Experience i.e. both long and short-term assignments.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 xml:space="preserve">This has </w:t>
      </w:r>
      <w:r w:rsidR="001D6315">
        <w:rPr>
          <w:rFonts w:asciiTheme="majorHAnsi" w:hAnsiTheme="majorHAnsi"/>
          <w:sz w:val="24"/>
          <w:szCs w:val="24"/>
        </w:rPr>
        <w:t>6</w:t>
      </w:r>
      <w:r w:rsidRPr="00334538">
        <w:rPr>
          <w:rFonts w:asciiTheme="majorHAnsi" w:hAnsiTheme="majorHAnsi"/>
          <w:sz w:val="24"/>
          <w:szCs w:val="24"/>
        </w:rPr>
        <w:t>0% weightage.</w:t>
      </w:r>
    </w:p>
    <w:p w14:paraId="159FFE33" w14:textId="77777777" w:rsidR="00334538" w:rsidRP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b) Exposure i.e. coaching and mentoring – 20%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weightage.</w:t>
      </w:r>
    </w:p>
    <w:p w14:paraId="35E794B7" w14:textId="77777777" w:rsidR="0033453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c) Education i.e. learning and development initiatives –</w:t>
      </w:r>
      <w:r w:rsidR="001D6315">
        <w:rPr>
          <w:rFonts w:asciiTheme="majorHAnsi" w:hAnsiTheme="majorHAnsi"/>
          <w:sz w:val="24"/>
          <w:szCs w:val="24"/>
        </w:rPr>
        <w:t xml:space="preserve"> 2</w:t>
      </w:r>
      <w:r w:rsidRPr="00334538">
        <w:rPr>
          <w:rFonts w:asciiTheme="majorHAnsi" w:hAnsiTheme="majorHAnsi"/>
          <w:sz w:val="24"/>
          <w:szCs w:val="24"/>
        </w:rPr>
        <w:t>0% weightage.</w:t>
      </w:r>
    </w:p>
    <w:p w14:paraId="1040EE13" w14:textId="77777777" w:rsidR="001D6315" w:rsidRPr="00334538" w:rsidRDefault="001D6315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5FA0E38" w14:textId="77777777" w:rsidR="001D6315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Talent Management process is applicable to all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employees. Over the years, the Talent Management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framework has become a well-structured and process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oriented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system</w:t>
      </w:r>
      <w:r w:rsidR="001D6315">
        <w:rPr>
          <w:rFonts w:asciiTheme="majorHAnsi" w:hAnsiTheme="majorHAnsi"/>
          <w:sz w:val="24"/>
          <w:szCs w:val="24"/>
        </w:rPr>
        <w:t>.</w:t>
      </w:r>
    </w:p>
    <w:p w14:paraId="0500407B" w14:textId="77777777" w:rsidR="001D6315" w:rsidRPr="00334538" w:rsidRDefault="001D6315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 xml:space="preserve"> </w:t>
      </w:r>
    </w:p>
    <w:p w14:paraId="75B662C1" w14:textId="77777777" w:rsidR="005B45CF" w:rsidRPr="00EC7278" w:rsidRDefault="00334538" w:rsidP="00107DBA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34538">
        <w:rPr>
          <w:rFonts w:asciiTheme="majorHAnsi" w:hAnsiTheme="majorHAnsi"/>
          <w:sz w:val="24"/>
          <w:szCs w:val="24"/>
        </w:rPr>
        <w:t>The talent pipeline is maintained and developed so as to ensure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that there is a seamless flow of talent. An important part of this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exercise is drawing up and implementing IDAPs (Individual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Development Action Plans) for every Executive concerned using</w:t>
      </w:r>
      <w:r w:rsidR="001D6315">
        <w:rPr>
          <w:rFonts w:asciiTheme="majorHAnsi" w:hAnsiTheme="majorHAnsi"/>
          <w:sz w:val="24"/>
          <w:szCs w:val="24"/>
        </w:rPr>
        <w:t xml:space="preserve"> </w:t>
      </w:r>
      <w:r w:rsidRPr="00334538">
        <w:rPr>
          <w:rFonts w:asciiTheme="majorHAnsi" w:hAnsiTheme="majorHAnsi"/>
          <w:sz w:val="24"/>
          <w:szCs w:val="24"/>
        </w:rPr>
        <w:t>the approach mentioned above.</w:t>
      </w:r>
    </w:p>
    <w:sectPr w:rsidR="005B45CF" w:rsidRPr="00EC7278" w:rsidSect="006805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278"/>
    <w:rsid w:val="0005597D"/>
    <w:rsid w:val="00085498"/>
    <w:rsid w:val="00107DBA"/>
    <w:rsid w:val="001229C8"/>
    <w:rsid w:val="0019104B"/>
    <w:rsid w:val="001A0A27"/>
    <w:rsid w:val="001C1139"/>
    <w:rsid w:val="001D6315"/>
    <w:rsid w:val="0025695A"/>
    <w:rsid w:val="002A5AC4"/>
    <w:rsid w:val="00334538"/>
    <w:rsid w:val="00446548"/>
    <w:rsid w:val="004533DC"/>
    <w:rsid w:val="005B45CF"/>
    <w:rsid w:val="00680563"/>
    <w:rsid w:val="00A71A09"/>
    <w:rsid w:val="00B6704E"/>
    <w:rsid w:val="00C94554"/>
    <w:rsid w:val="00CE77C3"/>
    <w:rsid w:val="00D00BDA"/>
    <w:rsid w:val="00EC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6FD8"/>
  <w15:docId w15:val="{8E63FA6F-25C4-4430-AF7D-11CE0F65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A942-8701-4605-AA5E-69FC4E74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Gaurav Bachani</cp:lastModifiedBy>
  <cp:revision>13</cp:revision>
  <dcterms:created xsi:type="dcterms:W3CDTF">2021-06-26T10:52:00Z</dcterms:created>
  <dcterms:modified xsi:type="dcterms:W3CDTF">2024-10-02T12:32:00Z</dcterms:modified>
</cp:coreProperties>
</file>